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B7A6F">
        <w:rPr>
          <w:sz w:val="28"/>
        </w:rPr>
        <w:t>Würfeloberfläche</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B7A6F" w:rsidTr="006B7A6F">
        <w:tc>
          <w:tcPr>
            <w:tcW w:w="2466" w:type="dxa"/>
            <w:tcBorders>
              <w:top w:val="single" w:sz="4" w:space="0" w:color="auto"/>
            </w:tcBorders>
            <w:vAlign w:val="center"/>
          </w:tcPr>
          <w:p w:rsidR="006B7A6F" w:rsidRDefault="006B7A6F" w:rsidP="009C2096">
            <w:pPr>
              <w:pStyle w:val="IQB-Merkmal"/>
            </w:pPr>
            <w:r>
              <w:t>Leitidee</w:t>
            </w:r>
          </w:p>
        </w:tc>
        <w:tc>
          <w:tcPr>
            <w:tcW w:w="6604" w:type="dxa"/>
            <w:tcBorders>
              <w:top w:val="single" w:sz="4" w:space="0" w:color="auto"/>
            </w:tcBorders>
          </w:tcPr>
          <w:p w:rsidR="006B7A6F" w:rsidRDefault="006B7A6F" w:rsidP="009C2096">
            <w:pPr>
              <w:pStyle w:val="IQB-Merkmalswert"/>
            </w:pPr>
            <w:r>
              <w:t>2. Messen</w:t>
            </w:r>
          </w:p>
        </w:tc>
      </w:tr>
      <w:tr w:rsidR="006B7A6F" w:rsidTr="006B7A6F">
        <w:tc>
          <w:tcPr>
            <w:tcW w:w="2466" w:type="dxa"/>
            <w:vAlign w:val="center"/>
          </w:tcPr>
          <w:p w:rsidR="006B7A6F" w:rsidRDefault="006B7A6F" w:rsidP="009C2096">
            <w:pPr>
              <w:pStyle w:val="IQB-Merkmal"/>
            </w:pPr>
            <w:r>
              <w:t>Allgemeine Kompetenz</w:t>
            </w:r>
          </w:p>
        </w:tc>
        <w:tc>
          <w:tcPr>
            <w:tcW w:w="6604" w:type="dxa"/>
          </w:tcPr>
          <w:p w:rsidR="006B7A6F" w:rsidRDefault="006B7A6F" w:rsidP="009C2096">
            <w:pPr>
              <w:pStyle w:val="IQB-Merkmalswert"/>
            </w:pPr>
            <w:r>
              <w:t>Mathematisches Argumentieren (K1),</w:t>
            </w:r>
          </w:p>
          <w:p w:rsidR="006B7A6F" w:rsidRDefault="006B7A6F" w:rsidP="009C2096">
            <w:pPr>
              <w:pStyle w:val="IQB-Merkmalswert"/>
            </w:pPr>
            <w:r>
              <w:t>Probleme mathematisch lösen (K2),</w:t>
            </w:r>
          </w:p>
          <w:p w:rsidR="006B7A6F" w:rsidRDefault="006B7A6F" w:rsidP="009C2096">
            <w:pPr>
              <w:pStyle w:val="IQB-Merkmalswert"/>
            </w:pPr>
            <w:r>
              <w:t>Mit Mathematik symbolisch/ formal/ technisch umgehen (K5),</w:t>
            </w:r>
          </w:p>
          <w:p w:rsidR="006B7A6F" w:rsidRDefault="006B7A6F" w:rsidP="009C2096">
            <w:pPr>
              <w:pStyle w:val="IQB-Merkmalswert"/>
            </w:pPr>
            <w:r>
              <w:t>Mathematisch kommunizieren (K6)</w:t>
            </w:r>
          </w:p>
        </w:tc>
      </w:tr>
      <w:tr w:rsidR="006B7A6F" w:rsidTr="006B7A6F">
        <w:tc>
          <w:tcPr>
            <w:tcW w:w="2466" w:type="dxa"/>
            <w:vAlign w:val="center"/>
          </w:tcPr>
          <w:p w:rsidR="006B7A6F" w:rsidRDefault="006B7A6F" w:rsidP="009C2096">
            <w:pPr>
              <w:pStyle w:val="IQB-Merkmal"/>
            </w:pPr>
            <w:r>
              <w:t>Anforderungsbereich</w:t>
            </w:r>
          </w:p>
        </w:tc>
        <w:tc>
          <w:tcPr>
            <w:tcW w:w="6604" w:type="dxa"/>
          </w:tcPr>
          <w:p w:rsidR="006B7A6F" w:rsidRDefault="006B7A6F" w:rsidP="009C2096">
            <w:pPr>
              <w:pStyle w:val="IQB-Merkmalswert"/>
            </w:pPr>
            <w:r>
              <w:t>III</w:t>
            </w:r>
          </w:p>
        </w:tc>
      </w:tr>
      <w:tr w:rsidR="006B7A6F" w:rsidTr="006B7A6F">
        <w:tc>
          <w:tcPr>
            <w:tcW w:w="2466" w:type="dxa"/>
            <w:tcBorders>
              <w:bottom w:val="single" w:sz="4" w:space="0" w:color="auto"/>
            </w:tcBorders>
            <w:vAlign w:val="center"/>
          </w:tcPr>
          <w:p w:rsidR="006B7A6F" w:rsidRDefault="006B7A6F" w:rsidP="009C2096">
            <w:pPr>
              <w:pStyle w:val="IQB-Merkmal"/>
            </w:pPr>
            <w:r>
              <w:t>Kompetenzstufe</w:t>
            </w:r>
          </w:p>
        </w:tc>
        <w:tc>
          <w:tcPr>
            <w:tcW w:w="6604" w:type="dxa"/>
            <w:tcBorders>
              <w:bottom w:val="single" w:sz="4" w:space="0" w:color="auto"/>
            </w:tcBorders>
          </w:tcPr>
          <w:p w:rsidR="006B7A6F" w:rsidRDefault="006B7A6F" w:rsidP="009C2096">
            <w:pPr>
              <w:pStyle w:val="IQB-Merkmalswert"/>
            </w:pPr>
            <w:r>
              <w:t>5</w:t>
            </w:r>
          </w:p>
        </w:tc>
      </w:tr>
    </w:tbl>
    <w:p w:rsidR="00694A63" w:rsidRPr="00694A63" w:rsidRDefault="00694A63" w:rsidP="00694A63">
      <w:pPr>
        <w:pStyle w:val="IQB-Teilaufgabentitel"/>
        <w:rPr>
          <w:b/>
        </w:rPr>
      </w:pPr>
      <w:r w:rsidRPr="00694A63">
        <w:rPr>
          <w:b/>
        </w:rPr>
        <w:t>Aufgabenbezogener Kommentar</w:t>
      </w:r>
    </w:p>
    <w:p w:rsidR="006B7A6F" w:rsidRPr="00793058" w:rsidRDefault="006B7A6F" w:rsidP="006B7A6F">
      <w:pPr>
        <w:pStyle w:val="IQB-Standard"/>
        <w:rPr>
          <w:sz w:val="22"/>
          <w:szCs w:val="22"/>
        </w:rPr>
      </w:pPr>
      <w:r w:rsidRPr="00793058">
        <w:rPr>
          <w:sz w:val="22"/>
          <w:szCs w:val="22"/>
        </w:rPr>
        <w:t>Da es in dieser Aufgabe um die Größe der Oberfläche eines Körpers geht, wird sie der Leitidee Messen (L2) zugeordnet.</w:t>
      </w:r>
    </w:p>
    <w:p w:rsidR="006B7A6F" w:rsidRDefault="006B7A6F" w:rsidP="006B7A6F">
      <w:pPr>
        <w:pStyle w:val="IQB-Standard"/>
        <w:rPr>
          <w:sz w:val="22"/>
          <w:szCs w:val="22"/>
        </w:rPr>
      </w:pPr>
      <w:r w:rsidRPr="00793058">
        <w:rPr>
          <w:sz w:val="22"/>
          <w:szCs w:val="22"/>
        </w:rPr>
        <w:t>Die Schülerinnen und Schüler sollen bestimmen, um wie viel Prozent die Oberfläche eines Würfels abnimmt, wenn man dessen Kantenlänge halbiert. Zunächst müssen die Lernenden diese im Aufgabentext formulierte Problemstellung korrekt erfassen (K6). Zum richtigen Ergebnis können sie mit verschiedenen Lösungsstrategien kommen (K2): Es können beispielsweise eine Skizze angefertigt, eine Formel zur Berechnung der Würfeloberfläche verwendet oder verschiedene Beispiele betrachtet werden (K5). Abschließend sollen die Schülerinnen und Schüler ihr Ergebnis argumentativ begründen (K1).</w:t>
      </w:r>
    </w:p>
    <w:p w:rsidR="006B7A6F" w:rsidRPr="006B7A6F" w:rsidRDefault="006B7A6F" w:rsidP="006B7A6F">
      <w:pPr>
        <w:spacing w:before="60"/>
        <w:rPr>
          <w:rFonts w:ascii="Arial" w:hAnsi="Arial" w:cs="Arial"/>
          <w:sz w:val="22"/>
          <w:szCs w:val="22"/>
        </w:rPr>
      </w:pPr>
      <w:r w:rsidRPr="006B7A6F">
        <w:rPr>
          <w:rFonts w:ascii="Arial" w:hAnsi="Arial" w:cs="Arial"/>
          <w:sz w:val="22"/>
          <w:szCs w:val="22"/>
        </w:rPr>
        <w:t>Da hier eine komplexe, mehrschrittige Argumentation entwickelt werden soll und die kognitiven Anforderungen an das Problemlösen eher hoch sind, handelt es sich um eine Aufgabe aus dem Anforderungsbereich III.</w:t>
      </w:r>
    </w:p>
    <w:p w:rsidR="00694A63" w:rsidRPr="00694A63" w:rsidRDefault="00694A63" w:rsidP="00694A63">
      <w:pPr>
        <w:pStyle w:val="IQB-Teilaufgabentitel"/>
        <w:rPr>
          <w:b/>
        </w:rPr>
      </w:pPr>
      <w:r w:rsidRPr="00694A63">
        <w:rPr>
          <w:b/>
        </w:rPr>
        <w:t>Anregungen für den Unterricht</w:t>
      </w:r>
    </w:p>
    <w:p w:rsidR="006B7A6F" w:rsidRDefault="006B7A6F" w:rsidP="006B7A6F">
      <w:pPr>
        <w:pStyle w:val="IQB-Standard"/>
        <w:rPr>
          <w:sz w:val="22"/>
          <w:szCs w:val="22"/>
        </w:rPr>
      </w:pPr>
      <w:r w:rsidRPr="00793058">
        <w:rPr>
          <w:sz w:val="22"/>
          <w:szCs w:val="22"/>
        </w:rPr>
        <w:t>Die Schülerinnen und Schüler argumentieren bei der Bearbeitung dieser Aufgabe rechnerisch oder anschaulich anhand einer Skizze. In beiden Fällen kann entweder nur ein Beispiel betrachtet werden oder es wird (z.</w:t>
      </w:r>
      <w:r>
        <w:rPr>
          <w:sz w:val="11"/>
          <w:szCs w:val="11"/>
        </w:rPr>
        <w:t> </w:t>
      </w:r>
      <w:r w:rsidRPr="00793058">
        <w:rPr>
          <w:sz w:val="22"/>
          <w:szCs w:val="22"/>
        </w:rPr>
        <w:t>B. mit Variablen) eine allgemeine Argumentation entwickelt. Statt der Oberfläche des gesamten Würfels können die Lernenden stellvertretend auch nur den Flächeninhalt einer einzigen Seitenfläche betrachten.</w:t>
      </w:r>
    </w:p>
    <w:p w:rsidR="006B7A6F" w:rsidRPr="00793058" w:rsidRDefault="006B7A6F" w:rsidP="006B7A6F">
      <w:pPr>
        <w:pStyle w:val="IQB-Standard"/>
        <w:rPr>
          <w:sz w:val="22"/>
          <w:szCs w:val="22"/>
        </w:rPr>
      </w:pPr>
    </w:p>
    <w:p w:rsidR="006B7A6F" w:rsidRPr="00793058" w:rsidRDefault="006B7A6F" w:rsidP="006B7A6F">
      <w:pPr>
        <w:pStyle w:val="ListParagraph"/>
        <w:numPr>
          <w:ilvl w:val="0"/>
          <w:numId w:val="9"/>
        </w:numPr>
        <w:spacing w:after="60"/>
        <w:rPr>
          <w:sz w:val="22"/>
          <w:szCs w:val="22"/>
        </w:rPr>
      </w:pPr>
      <w:r w:rsidRPr="00793058">
        <w:rPr>
          <w:sz w:val="22"/>
          <w:szCs w:val="22"/>
        </w:rPr>
        <w:t>Rechnerische Argumentation anhand eines Beispiels, bei der die Oberfläche des gesamten Würfels berechnet wird:</w:t>
      </w:r>
    </w:p>
    <w:p w:rsidR="006B7A6F" w:rsidRDefault="006B7A6F" w:rsidP="006B7A6F">
      <w:pPr>
        <w:ind w:left="709"/>
      </w:pPr>
      <w:r w:rsidRPr="004D1232">
        <w:rPr>
          <w:noProof/>
        </w:rPr>
        <w:drawing>
          <wp:inline distT="0" distB="0" distL="0" distR="0">
            <wp:extent cx="4178300" cy="107378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8300" cy="1073785"/>
                    </a:xfrm>
                    <a:prstGeom prst="rect">
                      <a:avLst/>
                    </a:prstGeom>
                    <a:noFill/>
                    <a:ln>
                      <a:noFill/>
                    </a:ln>
                  </pic:spPr>
                </pic:pic>
              </a:graphicData>
            </a:graphic>
          </wp:inline>
        </w:drawing>
      </w:r>
    </w:p>
    <w:p w:rsidR="006B7A6F" w:rsidRDefault="006B7A6F" w:rsidP="006B7A6F">
      <w:pPr>
        <w:ind w:left="709"/>
      </w:pPr>
    </w:p>
    <w:p w:rsidR="006B7A6F" w:rsidRDefault="006B7A6F" w:rsidP="006B7A6F">
      <w:pPr>
        <w:rPr>
          <w:sz w:val="22"/>
          <w:szCs w:val="22"/>
        </w:rPr>
      </w:pPr>
    </w:p>
    <w:p w:rsidR="006B7A6F" w:rsidRDefault="006B7A6F" w:rsidP="006B7A6F">
      <w:pPr>
        <w:pStyle w:val="ListParagraph"/>
        <w:numPr>
          <w:ilvl w:val="0"/>
          <w:numId w:val="9"/>
        </w:numPr>
        <w:spacing w:before="60" w:after="60"/>
        <w:ind w:left="714" w:hanging="357"/>
        <w:rPr>
          <w:sz w:val="22"/>
          <w:szCs w:val="22"/>
        </w:rPr>
      </w:pPr>
      <w:r w:rsidRPr="00793058">
        <w:rPr>
          <w:sz w:val="22"/>
          <w:szCs w:val="22"/>
        </w:rPr>
        <w:t>Rechnerische Argumentation anhand eines Beispiels und einer einzigen Seitenfläche (Auf den Zusammenhang von Seiten- und Oberfläche wurde in dieser Argumentation nicht eingegangen. Die Argumentation wurde aber dennoch akzeptiert):</w:t>
      </w:r>
    </w:p>
    <w:p w:rsidR="006B7A6F" w:rsidRPr="00793058" w:rsidRDefault="006B7A6F" w:rsidP="006B7A6F">
      <w:pPr>
        <w:pStyle w:val="ListParagraph"/>
        <w:spacing w:after="60"/>
        <w:ind w:left="714"/>
        <w:rPr>
          <w:sz w:val="10"/>
          <w:szCs w:val="10"/>
        </w:rPr>
      </w:pPr>
    </w:p>
    <w:p w:rsidR="006B7A6F" w:rsidRDefault="006B7A6F" w:rsidP="006B7A6F">
      <w:pPr>
        <w:pStyle w:val="ListParagraph"/>
        <w:rPr>
          <w:sz w:val="2"/>
          <w:szCs w:val="2"/>
        </w:rPr>
      </w:pPr>
      <w:r w:rsidRPr="004D1232">
        <w:rPr>
          <w:noProof/>
        </w:rPr>
        <w:lastRenderedPageBreak/>
        <w:drawing>
          <wp:inline distT="0" distB="0" distL="0" distR="0">
            <wp:extent cx="4220845" cy="2604770"/>
            <wp:effectExtent l="0" t="0" r="8255"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9">
                      <a:extLst>
                        <a:ext uri="{28A0092B-C50C-407E-A947-70E740481C1C}">
                          <a14:useLocalDpi xmlns:a14="http://schemas.microsoft.com/office/drawing/2010/main" val="0"/>
                        </a:ext>
                      </a:extLst>
                    </a:blip>
                    <a:srcRect b="9177"/>
                    <a:stretch>
                      <a:fillRect/>
                    </a:stretch>
                  </pic:blipFill>
                  <pic:spPr bwMode="auto">
                    <a:xfrm>
                      <a:off x="0" y="0"/>
                      <a:ext cx="4220845" cy="2604770"/>
                    </a:xfrm>
                    <a:prstGeom prst="rect">
                      <a:avLst/>
                    </a:prstGeom>
                    <a:noFill/>
                    <a:ln>
                      <a:noFill/>
                    </a:ln>
                  </pic:spPr>
                </pic:pic>
              </a:graphicData>
            </a:graphic>
          </wp:inline>
        </w:drawing>
      </w:r>
    </w:p>
    <w:p w:rsidR="006B7A6F" w:rsidRPr="006B7A6F" w:rsidRDefault="006B7A6F" w:rsidP="006B7A6F">
      <w:pPr>
        <w:pStyle w:val="ListParagraph"/>
        <w:ind w:left="0"/>
        <w:rPr>
          <w:sz w:val="22"/>
          <w:szCs w:val="22"/>
        </w:rPr>
      </w:pPr>
    </w:p>
    <w:p w:rsidR="006B7A6F" w:rsidRPr="00793058" w:rsidRDefault="006B7A6F" w:rsidP="006B7A6F">
      <w:pPr>
        <w:pStyle w:val="IQB-Standard"/>
        <w:numPr>
          <w:ilvl w:val="0"/>
          <w:numId w:val="9"/>
        </w:numPr>
        <w:spacing w:after="60"/>
        <w:ind w:left="714" w:hanging="357"/>
        <w:rPr>
          <w:sz w:val="22"/>
          <w:szCs w:val="22"/>
        </w:rPr>
      </w:pPr>
      <w:r w:rsidRPr="00793058">
        <w:rPr>
          <w:sz w:val="22"/>
          <w:szCs w:val="22"/>
        </w:rPr>
        <w:t>Allgemeine rechnerische Argumentation, bei der der Flächeninhalt einer einzigen Seitenfläche betrachtet wird:</w:t>
      </w:r>
    </w:p>
    <w:p w:rsidR="006B7A6F" w:rsidRDefault="006B7A6F" w:rsidP="006B7A6F">
      <w:pPr>
        <w:ind w:left="709"/>
        <w:rPr>
          <w:rFonts w:ascii="Arial" w:hAnsi="Arial" w:cs="Arial"/>
          <w:sz w:val="22"/>
          <w:szCs w:val="22"/>
        </w:rPr>
      </w:pPr>
      <w:r w:rsidRPr="004D1232">
        <w:rPr>
          <w:noProof/>
        </w:rPr>
        <w:drawing>
          <wp:inline distT="0" distB="0" distL="0" distR="0">
            <wp:extent cx="4263390" cy="2019935"/>
            <wp:effectExtent l="0" t="0" r="381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63390" cy="2019935"/>
                    </a:xfrm>
                    <a:prstGeom prst="rect">
                      <a:avLst/>
                    </a:prstGeom>
                    <a:noFill/>
                    <a:ln>
                      <a:noFill/>
                    </a:ln>
                  </pic:spPr>
                </pic:pic>
              </a:graphicData>
            </a:graphic>
          </wp:inline>
        </w:drawing>
      </w:r>
    </w:p>
    <w:p w:rsidR="006B7A6F" w:rsidRPr="006B7A6F" w:rsidRDefault="006B7A6F" w:rsidP="006B7A6F">
      <w:pPr>
        <w:ind w:left="709"/>
        <w:rPr>
          <w:rFonts w:ascii="Arial" w:hAnsi="Arial" w:cs="Arial"/>
          <w:sz w:val="22"/>
          <w:szCs w:val="22"/>
        </w:rPr>
      </w:pPr>
    </w:p>
    <w:p w:rsidR="006B7A6F" w:rsidRDefault="006B7A6F" w:rsidP="006B7A6F">
      <w:pPr>
        <w:pStyle w:val="ListParagraph"/>
        <w:numPr>
          <w:ilvl w:val="0"/>
          <w:numId w:val="9"/>
        </w:numPr>
        <w:spacing w:before="60" w:after="60"/>
        <w:ind w:left="714" w:hanging="357"/>
        <w:rPr>
          <w:sz w:val="22"/>
          <w:szCs w:val="22"/>
        </w:rPr>
      </w:pPr>
      <w:r w:rsidRPr="00793058">
        <w:rPr>
          <w:sz w:val="22"/>
          <w:szCs w:val="22"/>
        </w:rPr>
        <w:t>Anschauliche Argumentation anhand eines Beispiels und nur einer einzigen Seitenfläche:</w:t>
      </w:r>
    </w:p>
    <w:p w:rsidR="006B7A6F" w:rsidRPr="00793058" w:rsidRDefault="006B7A6F" w:rsidP="006B7A6F">
      <w:pPr>
        <w:spacing w:after="60"/>
        <w:rPr>
          <w:sz w:val="2"/>
          <w:szCs w:val="2"/>
        </w:rPr>
      </w:pPr>
    </w:p>
    <w:p w:rsidR="006B7A6F" w:rsidRDefault="006B7A6F" w:rsidP="006B7A6F">
      <w:pPr>
        <w:pStyle w:val="ListParagraph"/>
        <w:rPr>
          <w:sz w:val="22"/>
          <w:szCs w:val="22"/>
        </w:rPr>
      </w:pPr>
      <w:r w:rsidRPr="004D1232">
        <w:rPr>
          <w:noProof/>
        </w:rPr>
        <w:drawing>
          <wp:inline distT="0" distB="0" distL="0" distR="0">
            <wp:extent cx="4199890" cy="110553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9890" cy="1105535"/>
                    </a:xfrm>
                    <a:prstGeom prst="rect">
                      <a:avLst/>
                    </a:prstGeom>
                    <a:noFill/>
                    <a:ln>
                      <a:noFill/>
                    </a:ln>
                  </pic:spPr>
                </pic:pic>
              </a:graphicData>
            </a:graphic>
          </wp:inline>
        </w:drawing>
      </w:r>
    </w:p>
    <w:p w:rsidR="006B7A6F" w:rsidRDefault="006B7A6F" w:rsidP="006B7A6F">
      <w:pPr>
        <w:pStyle w:val="ListParagraph"/>
        <w:rPr>
          <w:sz w:val="22"/>
          <w:szCs w:val="22"/>
        </w:rPr>
      </w:pPr>
    </w:p>
    <w:p w:rsidR="006B7A6F" w:rsidRDefault="006B7A6F" w:rsidP="006B7A6F">
      <w:pPr>
        <w:pStyle w:val="ListParagraph"/>
        <w:numPr>
          <w:ilvl w:val="0"/>
          <w:numId w:val="9"/>
        </w:numPr>
        <w:spacing w:after="60"/>
        <w:ind w:left="714" w:hanging="357"/>
        <w:rPr>
          <w:sz w:val="22"/>
          <w:szCs w:val="22"/>
        </w:rPr>
      </w:pPr>
      <w:r w:rsidRPr="00793058">
        <w:rPr>
          <w:sz w:val="22"/>
          <w:szCs w:val="22"/>
        </w:rPr>
        <w:t>Allgemeine anschauliche Argumentation, bei der die Oberfläche des gesamten Würfels betrachtet wird:</w:t>
      </w:r>
    </w:p>
    <w:p w:rsidR="006B7A6F" w:rsidRPr="00793058" w:rsidRDefault="006B7A6F" w:rsidP="006B7A6F">
      <w:pPr>
        <w:pStyle w:val="ListParagraph"/>
        <w:spacing w:after="60"/>
        <w:ind w:left="714"/>
        <w:rPr>
          <w:sz w:val="4"/>
          <w:szCs w:val="4"/>
        </w:rPr>
      </w:pPr>
    </w:p>
    <w:p w:rsidR="006B7A6F" w:rsidRDefault="006B7A6F" w:rsidP="006B7A6F">
      <w:pPr>
        <w:pStyle w:val="ListParagraph"/>
        <w:rPr>
          <w:sz w:val="22"/>
          <w:szCs w:val="22"/>
        </w:rPr>
      </w:pPr>
      <w:r w:rsidRPr="004D1232">
        <w:rPr>
          <w:noProof/>
        </w:rPr>
        <w:drawing>
          <wp:inline distT="0" distB="0" distL="0" distR="0">
            <wp:extent cx="4178300" cy="146748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8300" cy="1467485"/>
                    </a:xfrm>
                    <a:prstGeom prst="rect">
                      <a:avLst/>
                    </a:prstGeom>
                    <a:noFill/>
                    <a:ln>
                      <a:noFill/>
                    </a:ln>
                  </pic:spPr>
                </pic:pic>
              </a:graphicData>
            </a:graphic>
          </wp:inline>
        </w:drawing>
      </w:r>
    </w:p>
    <w:p w:rsidR="006B7A6F" w:rsidRDefault="006B7A6F" w:rsidP="006B7A6F">
      <w:pPr>
        <w:rPr>
          <w:sz w:val="22"/>
          <w:szCs w:val="22"/>
        </w:rPr>
      </w:pPr>
    </w:p>
    <w:p w:rsidR="006B7A6F" w:rsidRPr="00793058" w:rsidRDefault="006B7A6F" w:rsidP="006B7A6F">
      <w:pPr>
        <w:pStyle w:val="IQB-Standard"/>
        <w:rPr>
          <w:sz w:val="22"/>
          <w:szCs w:val="22"/>
        </w:rPr>
      </w:pPr>
      <w:r w:rsidRPr="00793058">
        <w:rPr>
          <w:sz w:val="22"/>
          <w:szCs w:val="22"/>
        </w:rPr>
        <w:lastRenderedPageBreak/>
        <w:t>Gerade die verschiedenen Strategien bei der Bearbeitung solcher Begründungsaufgaben bieten die wertvolle Gelegenheit, im Mathematikunterricht binnendifferenziert zu arbeiten. Dabei wird nicht nur entlang des Leistungsstandes der Schülerinnen und Schülerdifferenziert, sondern vor allem anhand der Zugangsweisen, die von den Lernenden präferiert werden. Die verschiedenen Lösungsansätze können von Schülerinnen und Schülern entweder in einem kooperativen Lernsetting selbst entwickelt oder durch Hinweise seitens der Lehrkraft angeregt werden. In jedem Fall sollten sie aber in einer Plenumsphase vorgestellt und gegeneinander abgewogen werden. Eine frühzeitige oder gar ausschließliche Fokussierung auf einen rein algebraischen Lösungsweg ist zu vermeiden.</w:t>
      </w:r>
    </w:p>
    <w:p w:rsidR="006B7A6F" w:rsidRPr="00793058" w:rsidRDefault="006B7A6F" w:rsidP="006B7A6F">
      <w:pPr>
        <w:pStyle w:val="IQB-Standard"/>
        <w:rPr>
          <w:sz w:val="22"/>
          <w:szCs w:val="22"/>
        </w:rPr>
      </w:pPr>
      <w:r w:rsidRPr="00793058">
        <w:rPr>
          <w:sz w:val="22"/>
          <w:szCs w:val="22"/>
        </w:rPr>
        <w:t>Durch ein solches Vorgehen wird sichergestellt, dass zum einen der Anspruch der Binnendifferenzierung gewahrt bleibt und zum anderen alle Lernenden divergierende mathematische Sichtweisen auf ein Problem einnehmen können. Wird dieses Verfahren im Unterricht regelmäßig angewandt und verschiedene Herangehensweisen systematisiert und gesichert, so ist davon auszugehen, dass die Schülerinnen und Schülern heuristische Fähigkeiten entwickeln und damit ihre Kompetenz zum mathematischen Problemlösen (K2) gestärkt wird.</w:t>
      </w:r>
    </w:p>
    <w:p w:rsidR="006B7A6F" w:rsidRDefault="006B7A6F" w:rsidP="006B7A6F">
      <w:pPr>
        <w:pStyle w:val="IQB-Standard"/>
        <w:rPr>
          <w:sz w:val="22"/>
          <w:szCs w:val="22"/>
        </w:rPr>
      </w:pPr>
      <w:r w:rsidRPr="00793058">
        <w:rPr>
          <w:sz w:val="22"/>
          <w:szCs w:val="22"/>
        </w:rPr>
        <w:t>Die hier vorgestellte Aufgabe lässt sich für den Unterricht variieren, indem die Fragestellung auf andere Körper (Pyramiden, Kugeln usw.) oder Flächen (gleichseitige Dreiecke, Kreisflächen usw.) übertragen wird. In diesem Zusammenhang kann auch reflektierend auf die Umrechnung von Maßeinheiten eingegangen werden. Eine interessante Anwendung ergibt sich, wenn auf dem Computer gespeicherte Bilddateien (z.</w:t>
      </w:r>
      <w:r>
        <w:rPr>
          <w:sz w:val="11"/>
          <w:szCs w:val="11"/>
        </w:rPr>
        <w:t> </w:t>
      </w:r>
      <w:r w:rsidRPr="00793058">
        <w:rPr>
          <w:sz w:val="22"/>
          <w:szCs w:val="22"/>
        </w:rPr>
        <w:t>B. Urlaubsbilder) unter Beibehaltung der Seitenverhältnisse verkleinert (skaliert) werden. Es lässt sich aufgrund des mathematischen Zusammenhangs</w:t>
      </w:r>
      <w:r>
        <w:rPr>
          <w:sz w:val="22"/>
          <w:szCs w:val="22"/>
        </w:rPr>
        <w:t xml:space="preserve"> </w:t>
      </w:r>
      <w:r w:rsidRPr="00793058">
        <w:rPr>
          <w:sz w:val="22"/>
          <w:szCs w:val="22"/>
        </w:rPr>
        <w:t>(Seitenlängen und Flächen) erläutern, warum der Speicherbedarf eines Bildes um deutlich mehr als die Hälfte sinkt, wenn dessen Seitenlängen halbiert werden (siehe Abbildung).</w:t>
      </w:r>
    </w:p>
    <w:p w:rsidR="006B7A6F" w:rsidRDefault="006B7A6F" w:rsidP="006B7A6F">
      <w:pPr>
        <w:pStyle w:val="IQB-Standard"/>
        <w:rPr>
          <w:sz w:val="22"/>
          <w:szCs w:val="22"/>
        </w:rPr>
      </w:pPr>
      <w:r w:rsidRPr="00C072E0">
        <w:rPr>
          <w:noProof/>
          <w:sz w:val="22"/>
          <w:szCs w:val="22"/>
        </w:rPr>
        <w:drawing>
          <wp:inline distT="0" distB="0" distL="0" distR="0">
            <wp:extent cx="5454650" cy="3498215"/>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3">
                      <a:extLst>
                        <a:ext uri="{28A0092B-C50C-407E-A947-70E740481C1C}">
                          <a14:useLocalDpi xmlns:a14="http://schemas.microsoft.com/office/drawing/2010/main" val="0"/>
                        </a:ext>
                      </a:extLst>
                    </a:blip>
                    <a:srcRect t="4082"/>
                    <a:stretch>
                      <a:fillRect/>
                    </a:stretch>
                  </pic:blipFill>
                  <pic:spPr bwMode="auto">
                    <a:xfrm>
                      <a:off x="0" y="0"/>
                      <a:ext cx="5454650" cy="3498215"/>
                    </a:xfrm>
                    <a:prstGeom prst="rect">
                      <a:avLst/>
                    </a:prstGeom>
                    <a:noFill/>
                    <a:ln>
                      <a:noFill/>
                    </a:ln>
                  </pic:spPr>
                </pic:pic>
              </a:graphicData>
            </a:graphic>
          </wp:inline>
        </w:drawing>
      </w:r>
    </w:p>
    <w:p w:rsidR="006B7A6F" w:rsidRPr="0001075C" w:rsidRDefault="006B7A6F" w:rsidP="006B7A6F">
      <w:pPr>
        <w:pStyle w:val="IQB-Standard"/>
        <w:rPr>
          <w:sz w:val="22"/>
          <w:szCs w:val="22"/>
        </w:rPr>
      </w:pPr>
      <w:r w:rsidRPr="0001075C">
        <w:rPr>
          <w:sz w:val="22"/>
          <w:szCs w:val="22"/>
        </w:rPr>
        <w:t xml:space="preserve">Das linke abgebildete Foto hat die Maße </w:t>
      </w:r>
      <w:smartTag w:uri="urn:schemas-microsoft-com:office:smarttags" w:element="metricconverter">
        <w:smartTagPr>
          <w:attr w:name="ProductID" w:val="12 cm"/>
        </w:smartTagPr>
        <w:r w:rsidRPr="0001075C">
          <w:rPr>
            <w:sz w:val="22"/>
            <w:szCs w:val="22"/>
          </w:rPr>
          <w:t>12</w:t>
        </w:r>
        <w:r>
          <w:rPr>
            <w:sz w:val="22"/>
            <w:szCs w:val="22"/>
          </w:rPr>
          <w:t xml:space="preserve"> </w:t>
        </w:r>
        <w:r w:rsidRPr="0001075C">
          <w:rPr>
            <w:sz w:val="22"/>
            <w:szCs w:val="22"/>
          </w:rPr>
          <w:t>cm</w:t>
        </w:r>
      </w:smartTag>
      <w:r w:rsidRPr="0001075C">
        <w:rPr>
          <w:sz w:val="22"/>
          <w:szCs w:val="22"/>
        </w:rPr>
        <w:t xml:space="preserve"> x </w:t>
      </w:r>
      <w:smartTag w:uri="urn:schemas-microsoft-com:office:smarttags" w:element="metricconverter">
        <w:smartTagPr>
          <w:attr w:name="ProductID" w:val="16 cm"/>
        </w:smartTagPr>
        <w:r w:rsidRPr="0001075C">
          <w:rPr>
            <w:sz w:val="22"/>
            <w:szCs w:val="22"/>
          </w:rPr>
          <w:t>16</w:t>
        </w:r>
        <w:r>
          <w:rPr>
            <w:sz w:val="22"/>
            <w:szCs w:val="22"/>
          </w:rPr>
          <w:t xml:space="preserve"> </w:t>
        </w:r>
        <w:r w:rsidRPr="0001075C">
          <w:rPr>
            <w:sz w:val="22"/>
            <w:szCs w:val="22"/>
          </w:rPr>
          <w:t>cm</w:t>
        </w:r>
      </w:smartTag>
      <w:r w:rsidRPr="0001075C">
        <w:rPr>
          <w:sz w:val="22"/>
          <w:szCs w:val="22"/>
        </w:rPr>
        <w:t xml:space="preserve"> und hat das Speichervolumen 11,356KB (im TIF-Format), verringert man die Seitenlängen jeweils um 50 Prozent, so verringert sich das Speichervolumen auf ein Viertel (2,845KB).</w:t>
      </w:r>
    </w:p>
    <w:p w:rsidR="00694A63" w:rsidRPr="007E6CC0" w:rsidRDefault="00694A63" w:rsidP="006B7A6F">
      <w:pPr>
        <w:pStyle w:val="IQB-Standard"/>
        <w:rPr>
          <w:sz w:val="22"/>
          <w:szCs w:val="22"/>
        </w:rPr>
      </w:pPr>
      <w:bookmarkStart w:id="0" w:name="_GoBack"/>
      <w:bookmarkEnd w:id="0"/>
    </w:p>
    <w:sectPr w:rsidR="00694A63" w:rsidRPr="007E6CC0"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D4FFA2E6-9A28-4F9C-AB52-ADE7B2E0F5DE}"/>
    <w:embedBold r:id="rId2" w:fontKey="{86456FB7-79A4-44F7-BFBB-B88C26457805}"/>
    <w:embedBoldItalic r:id="rId3" w:fontKey="{B64FD9F8-0A80-4FA1-A7CA-E9ED7FEB022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2983EB6"/>
    <w:multiLevelType w:val="hybridMultilevel"/>
    <w:tmpl w:val="E670E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
  </w:num>
  <w:num w:numId="3">
    <w:abstractNumId w:val="0"/>
  </w:num>
  <w:num w:numId="4">
    <w:abstractNumId w:val="8"/>
  </w:num>
  <w:num w:numId="5">
    <w:abstractNumId w:val="4"/>
  </w:num>
  <w:num w:numId="6">
    <w:abstractNumId w:val="6"/>
  </w:num>
  <w:num w:numId="7">
    <w:abstractNumId w:val="3"/>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6B7A6F"/>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9633"/>
    <o:shapelayout v:ext="edit">
      <o:idmap v:ext="edit" data="1"/>
    </o:shapelayout>
  </w:shapeDefaults>
  <w:decimalSymbol w:val=","/>
  <w:listSeparator w:val=";"/>
  <w14:docId w14:val="5A3D318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customStyle="1" w:styleId="ListParagraph">
    <w:name w:val="List Paragraph"/>
    <w:basedOn w:val="Standard"/>
    <w:rsid w:val="006B7A6F"/>
    <w:pPr>
      <w:ind w:left="720"/>
      <w:contextualSpacing/>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7205BE-9872-46D5-8D24-FE7463135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570</Words>
  <Characters>4002</Characters>
  <Application>Microsoft Office Word</Application>
  <DocSecurity>0</DocSecurity>
  <Lines>148</Lines>
  <Paragraphs>93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2025-06-02T13:18:00Z</dcterms:created>
  <dcterms:modified xsi:type="dcterms:W3CDTF">2025-06-02T13:18:00Z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